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7BB1E" w14:textId="392062BF" w:rsidR="00B2625F" w:rsidRDefault="00B45E59">
      <w:pPr>
        <w:pStyle w:val="BodyText"/>
        <w:spacing w:before="40"/>
        <w:ind w:left="2055" w:right="2414" w:firstLine="0"/>
        <w:jc w:val="center"/>
      </w:pPr>
      <w:r>
        <w:t>Q &amp; A for SNAP OUTREACH AND EDUCATION</w:t>
      </w:r>
    </w:p>
    <w:p w14:paraId="7E8DB026" w14:textId="77777777" w:rsidR="00B45E59" w:rsidRDefault="00B45E59">
      <w:pPr>
        <w:pStyle w:val="BodyText"/>
        <w:spacing w:before="40"/>
        <w:ind w:left="2055" w:right="2414" w:firstLine="0"/>
        <w:jc w:val="center"/>
      </w:pPr>
    </w:p>
    <w:p w14:paraId="7ED4DF82" w14:textId="41A431F7" w:rsidR="00B45E59" w:rsidRPr="00B45E59" w:rsidRDefault="00B45E59" w:rsidP="00B45E59">
      <w:pPr>
        <w:pStyle w:val="BodyText"/>
        <w:spacing w:before="40"/>
        <w:ind w:right="2414"/>
        <w:rPr>
          <w:b/>
          <w:bCs/>
          <w:u w:val="single"/>
        </w:rPr>
      </w:pPr>
      <w:r w:rsidRPr="00B45E59">
        <w:rPr>
          <w:b/>
          <w:bCs/>
          <w:u w:val="single"/>
        </w:rPr>
        <w:t>OUTREACH</w:t>
      </w:r>
    </w:p>
    <w:p w14:paraId="7527BB1F" w14:textId="56240E61" w:rsidR="00B2625F" w:rsidRDefault="00000000">
      <w:pPr>
        <w:pStyle w:val="ListParagraph"/>
        <w:numPr>
          <w:ilvl w:val="0"/>
          <w:numId w:val="1"/>
        </w:numPr>
        <w:tabs>
          <w:tab w:val="left" w:pos="460"/>
          <w:tab w:val="left" w:pos="461"/>
        </w:tabs>
        <w:spacing w:before="181" w:line="259" w:lineRule="auto"/>
        <w:ind w:right="366"/>
      </w:pPr>
      <w:r>
        <w:t>RFA Section 12.0: Application Content and Instructions – Some of the components have</w:t>
      </w:r>
      <w:r>
        <w:rPr>
          <w:spacing w:val="-35"/>
        </w:rPr>
        <w:t xml:space="preserve"> </w:t>
      </w:r>
      <w:r>
        <w:t>(page limit) next to them, but don’t specify an actual page limit. What are the page limits for each component of the</w:t>
      </w:r>
      <w:r>
        <w:rPr>
          <w:spacing w:val="-3"/>
        </w:rPr>
        <w:t xml:space="preserve"> </w:t>
      </w:r>
      <w:r>
        <w:t>application?</w:t>
      </w:r>
      <w:r w:rsidR="004E1F46">
        <w:t xml:space="preserve"> </w:t>
      </w:r>
      <w:r w:rsidR="00B521FE" w:rsidRPr="00F45EB9">
        <w:rPr>
          <w:color w:val="1F497D" w:themeColor="text2"/>
        </w:rPr>
        <w:t>There is no page limit</w:t>
      </w:r>
      <w:r w:rsidR="00F45EB9">
        <w:rPr>
          <w:color w:val="1F497D" w:themeColor="text2"/>
        </w:rPr>
        <w:t>, you may submit per your agency’s preference</w:t>
      </w:r>
      <w:r w:rsidR="00F45EB9" w:rsidRPr="00F45EB9">
        <w:rPr>
          <w:color w:val="1F497D" w:themeColor="text2"/>
        </w:rPr>
        <w:t>.</w:t>
      </w:r>
      <w:r w:rsidR="00F45EB9">
        <w:t xml:space="preserve"> </w:t>
      </w:r>
    </w:p>
    <w:p w14:paraId="7527BB20" w14:textId="64E6D3A9" w:rsidR="00B2625F" w:rsidRPr="0073332A" w:rsidRDefault="00000000">
      <w:pPr>
        <w:pStyle w:val="ListParagraph"/>
        <w:numPr>
          <w:ilvl w:val="0"/>
          <w:numId w:val="1"/>
        </w:numPr>
        <w:tabs>
          <w:tab w:val="left" w:pos="460"/>
          <w:tab w:val="left" w:pos="461"/>
        </w:tabs>
        <w:spacing w:line="259" w:lineRule="auto"/>
        <w:ind w:right="217"/>
        <w:rPr>
          <w:color w:val="1F497D" w:themeColor="text2"/>
        </w:rPr>
      </w:pPr>
      <w:r>
        <w:t>RFA</w:t>
      </w:r>
      <w:r>
        <w:rPr>
          <w:spacing w:val="-3"/>
        </w:rPr>
        <w:t xml:space="preserve"> </w:t>
      </w:r>
      <w:r>
        <w:t>Section</w:t>
      </w:r>
      <w:r>
        <w:rPr>
          <w:spacing w:val="-3"/>
        </w:rPr>
        <w:t xml:space="preserve"> </w:t>
      </w:r>
      <w:r>
        <w:t>12.2.E:</w:t>
      </w:r>
      <w:r>
        <w:rPr>
          <w:spacing w:val="-2"/>
        </w:rPr>
        <w:t xml:space="preserve"> </w:t>
      </w:r>
      <w:r>
        <w:t>If</w:t>
      </w:r>
      <w:r>
        <w:rPr>
          <w:spacing w:val="-2"/>
        </w:rPr>
        <w:t xml:space="preserve"> </w:t>
      </w:r>
      <w:r>
        <w:t>we</w:t>
      </w:r>
      <w:r>
        <w:rPr>
          <w:spacing w:val="-2"/>
        </w:rPr>
        <w:t xml:space="preserve"> </w:t>
      </w:r>
      <w:r>
        <w:t>are</w:t>
      </w:r>
      <w:r>
        <w:rPr>
          <w:spacing w:val="-3"/>
        </w:rPr>
        <w:t xml:space="preserve"> </w:t>
      </w:r>
      <w:r>
        <w:t>a</w:t>
      </w:r>
      <w:r>
        <w:rPr>
          <w:spacing w:val="-2"/>
        </w:rPr>
        <w:t xml:space="preserve"> </w:t>
      </w:r>
      <w:r>
        <w:t>state</w:t>
      </w:r>
      <w:r>
        <w:rPr>
          <w:spacing w:val="-2"/>
        </w:rPr>
        <w:t xml:space="preserve"> </w:t>
      </w:r>
      <w:r>
        <w:t>university,</w:t>
      </w:r>
      <w:r>
        <w:rPr>
          <w:spacing w:val="-2"/>
        </w:rPr>
        <w:t xml:space="preserve"> </w:t>
      </w:r>
      <w:r>
        <w:t>how</w:t>
      </w:r>
      <w:r>
        <w:rPr>
          <w:spacing w:val="-2"/>
        </w:rPr>
        <w:t xml:space="preserve"> </w:t>
      </w:r>
      <w:r>
        <w:t>do we</w:t>
      </w:r>
      <w:r>
        <w:rPr>
          <w:spacing w:val="-3"/>
        </w:rPr>
        <w:t xml:space="preserve"> </w:t>
      </w:r>
      <w:r>
        <w:t>address the</w:t>
      </w:r>
      <w:r>
        <w:rPr>
          <w:spacing w:val="-4"/>
        </w:rPr>
        <w:t xml:space="preserve"> </w:t>
      </w:r>
      <w:r>
        <w:t>information</w:t>
      </w:r>
      <w:r>
        <w:rPr>
          <w:spacing w:val="-3"/>
        </w:rPr>
        <w:t xml:space="preserve"> </w:t>
      </w:r>
      <w:r>
        <w:t>on</w:t>
      </w:r>
      <w:r>
        <w:rPr>
          <w:spacing w:val="-2"/>
        </w:rPr>
        <w:t xml:space="preserve"> </w:t>
      </w:r>
      <w:r>
        <w:t>Board</w:t>
      </w:r>
      <w:r>
        <w:rPr>
          <w:spacing w:val="-2"/>
        </w:rPr>
        <w:t xml:space="preserve"> </w:t>
      </w:r>
      <w:r>
        <w:t>of Directors. Can we just focus on key</w:t>
      </w:r>
      <w:r>
        <w:rPr>
          <w:spacing w:val="-8"/>
        </w:rPr>
        <w:t xml:space="preserve"> </w:t>
      </w:r>
      <w:r>
        <w:t>staff?</w:t>
      </w:r>
      <w:r w:rsidR="00F45EB9">
        <w:t xml:space="preserve"> </w:t>
      </w:r>
      <w:r w:rsidR="0073332A" w:rsidRPr="0073332A">
        <w:rPr>
          <w:color w:val="1F497D" w:themeColor="text2"/>
        </w:rPr>
        <w:t xml:space="preserve">You may focus on supervisor/directors </w:t>
      </w:r>
      <w:r w:rsidR="0073332A">
        <w:rPr>
          <w:color w:val="1F497D" w:themeColor="text2"/>
        </w:rPr>
        <w:t xml:space="preserve">in leadership </w:t>
      </w:r>
      <w:r w:rsidR="00B23FAD">
        <w:rPr>
          <w:color w:val="1F497D" w:themeColor="text2"/>
        </w:rPr>
        <w:t>roles that supervise</w:t>
      </w:r>
      <w:r w:rsidR="0073332A" w:rsidRPr="0073332A">
        <w:rPr>
          <w:color w:val="1F497D" w:themeColor="text2"/>
        </w:rPr>
        <w:t xml:space="preserve"> key staff</w:t>
      </w:r>
      <w:r w:rsidR="00100DC7">
        <w:rPr>
          <w:color w:val="1F497D" w:themeColor="text2"/>
        </w:rPr>
        <w:t xml:space="preserve"> in your department</w:t>
      </w:r>
      <w:r w:rsidR="0073332A" w:rsidRPr="0073332A">
        <w:rPr>
          <w:color w:val="1F497D" w:themeColor="text2"/>
        </w:rPr>
        <w:t xml:space="preserve">. </w:t>
      </w:r>
    </w:p>
    <w:p w14:paraId="1B5F6C80" w14:textId="77777777" w:rsidR="00F8666E" w:rsidRDefault="00000000" w:rsidP="00F8666E">
      <w:pPr>
        <w:pStyle w:val="ListParagraph"/>
        <w:numPr>
          <w:ilvl w:val="0"/>
          <w:numId w:val="1"/>
        </w:numPr>
        <w:tabs>
          <w:tab w:val="left" w:pos="460"/>
          <w:tab w:val="left" w:pos="461"/>
        </w:tabs>
        <w:spacing w:line="259" w:lineRule="auto"/>
        <w:ind w:right="114"/>
      </w:pPr>
      <w:r>
        <w:t>The</w:t>
      </w:r>
      <w:r>
        <w:rPr>
          <w:spacing w:val="-3"/>
        </w:rPr>
        <w:t xml:space="preserve"> </w:t>
      </w:r>
      <w:r>
        <w:t>purpose</w:t>
      </w:r>
      <w:r>
        <w:rPr>
          <w:spacing w:val="-3"/>
        </w:rPr>
        <w:t xml:space="preserve"> </w:t>
      </w:r>
      <w:r>
        <w:t>listed</w:t>
      </w:r>
      <w:r>
        <w:rPr>
          <w:spacing w:val="-1"/>
        </w:rPr>
        <w:t xml:space="preserve"> </w:t>
      </w:r>
      <w:r>
        <w:t>in</w:t>
      </w:r>
      <w:r>
        <w:rPr>
          <w:spacing w:val="-3"/>
        </w:rPr>
        <w:t xml:space="preserve"> </w:t>
      </w:r>
      <w:r>
        <w:t>the</w:t>
      </w:r>
      <w:r>
        <w:rPr>
          <w:spacing w:val="-3"/>
        </w:rPr>
        <w:t xml:space="preserve"> </w:t>
      </w:r>
      <w:r>
        <w:t>scope</w:t>
      </w:r>
      <w:r>
        <w:rPr>
          <w:spacing w:val="-2"/>
        </w:rPr>
        <w:t xml:space="preserve"> </w:t>
      </w:r>
      <w:r>
        <w:t>of</w:t>
      </w:r>
      <w:r>
        <w:rPr>
          <w:spacing w:val="-3"/>
        </w:rPr>
        <w:t xml:space="preserve"> </w:t>
      </w:r>
      <w:r>
        <w:t>work where</w:t>
      </w:r>
      <w:r>
        <w:rPr>
          <w:spacing w:val="-2"/>
        </w:rPr>
        <w:t xml:space="preserve"> </w:t>
      </w:r>
      <w:r>
        <w:t>reach</w:t>
      </w:r>
      <w:r>
        <w:rPr>
          <w:spacing w:val="-4"/>
        </w:rPr>
        <w:t xml:space="preserve"> </w:t>
      </w:r>
      <w:r>
        <w:t>is</w:t>
      </w:r>
      <w:r>
        <w:rPr>
          <w:spacing w:val="-2"/>
        </w:rPr>
        <w:t xml:space="preserve"> </w:t>
      </w:r>
      <w:r>
        <w:t>indicated</w:t>
      </w:r>
      <w:r>
        <w:rPr>
          <w:spacing w:val="-2"/>
        </w:rPr>
        <w:t xml:space="preserve"> </w:t>
      </w:r>
      <w:r>
        <w:t>seems</w:t>
      </w:r>
      <w:r>
        <w:rPr>
          <w:spacing w:val="-2"/>
        </w:rPr>
        <w:t xml:space="preserve"> </w:t>
      </w:r>
      <w:r>
        <w:t>to</w:t>
      </w:r>
      <w:r>
        <w:rPr>
          <w:spacing w:val="-1"/>
        </w:rPr>
        <w:t xml:space="preserve"> </w:t>
      </w:r>
      <w:r>
        <w:t>be</w:t>
      </w:r>
      <w:r>
        <w:rPr>
          <w:spacing w:val="-3"/>
        </w:rPr>
        <w:t xml:space="preserve"> </w:t>
      </w:r>
      <w:r>
        <w:t>for</w:t>
      </w:r>
      <w:r>
        <w:rPr>
          <w:spacing w:val="-1"/>
        </w:rPr>
        <w:t xml:space="preserve"> </w:t>
      </w:r>
      <w:r>
        <w:t>SNAP-Ed</w:t>
      </w:r>
      <w:r>
        <w:rPr>
          <w:spacing w:val="-2"/>
        </w:rPr>
        <w:t xml:space="preserve"> </w:t>
      </w:r>
      <w:r>
        <w:t xml:space="preserve">rather than SNAP Outreach. It is focused on </w:t>
      </w:r>
      <w:proofErr w:type="gramStart"/>
      <w:r>
        <w:t>number</w:t>
      </w:r>
      <w:proofErr w:type="gramEnd"/>
      <w:r>
        <w:t xml:space="preserve"> of individuals making healthy food choices within a limited budget and choose physically active lifestyles. Can you confirm what reach should be based</w:t>
      </w:r>
      <w:r>
        <w:rPr>
          <w:spacing w:val="-2"/>
        </w:rPr>
        <w:t xml:space="preserve"> </w:t>
      </w:r>
      <w:r>
        <w:t>on?</w:t>
      </w:r>
      <w:r w:rsidR="008341BF" w:rsidRPr="008341BF">
        <w:t xml:space="preserve"> </w:t>
      </w:r>
      <w:r w:rsidR="008341BF">
        <w:tab/>
      </w:r>
    </w:p>
    <w:p w14:paraId="17016366" w14:textId="5039E923" w:rsidR="00DF0B8E" w:rsidRPr="00F8666E" w:rsidRDefault="00AF6734" w:rsidP="00F8666E">
      <w:pPr>
        <w:pStyle w:val="ListParagraph"/>
        <w:tabs>
          <w:tab w:val="left" w:pos="460"/>
          <w:tab w:val="left" w:pos="461"/>
        </w:tabs>
        <w:spacing w:line="259" w:lineRule="auto"/>
        <w:ind w:right="114" w:firstLine="0"/>
        <w:rPr>
          <w:color w:val="1F497D" w:themeColor="text2"/>
        </w:rPr>
      </w:pPr>
      <w:r>
        <w:rPr>
          <w:color w:val="1F497D" w:themeColor="text2"/>
        </w:rPr>
        <w:t>Yes, thank you for pointing this out. It has been revised to say:</w:t>
      </w:r>
    </w:p>
    <w:p w14:paraId="24844C9C" w14:textId="30DB6616" w:rsidR="00DF0B8E" w:rsidRPr="00DF0B8E" w:rsidRDefault="00AF6734" w:rsidP="00AF6734">
      <w:pPr>
        <w:pStyle w:val="ListParagraph"/>
        <w:ind w:firstLine="0"/>
      </w:pPr>
      <w:r>
        <w:t>“</w:t>
      </w:r>
      <w:r w:rsidR="00DF0B8E" w:rsidRPr="00DF0B8E">
        <w:t xml:space="preserve">To raise awareness of Food and Nutrition Services Program benefits, eligibility requirements and application procedures to an estimated </w:t>
      </w:r>
      <w:r>
        <w:t>______</w:t>
      </w:r>
      <w:r w:rsidR="00DF0B8E" w:rsidRPr="00DF0B8E">
        <w:t xml:space="preserve"> potentially eligible low-income individuals residing in </w:t>
      </w:r>
      <w:r>
        <w:t>______</w:t>
      </w:r>
      <w:r w:rsidR="00DF0B8E" w:rsidRPr="00DF0B8E">
        <w:t xml:space="preserve"> counties.</w:t>
      </w:r>
      <w:r>
        <w:t>”</w:t>
      </w:r>
    </w:p>
    <w:p w14:paraId="7527BB21" w14:textId="5C642501" w:rsidR="00B2625F" w:rsidRPr="002878C2" w:rsidRDefault="00FB6C8F" w:rsidP="002878C2">
      <w:pPr>
        <w:pStyle w:val="ListParagraph"/>
        <w:tabs>
          <w:tab w:val="left" w:pos="460"/>
          <w:tab w:val="left" w:pos="461"/>
        </w:tabs>
        <w:spacing w:line="259" w:lineRule="auto"/>
        <w:ind w:right="114" w:firstLine="0"/>
        <w:rPr>
          <w:color w:val="1F497D" w:themeColor="text2"/>
        </w:rPr>
      </w:pPr>
      <w:r w:rsidRPr="00EA32D5">
        <w:rPr>
          <w:color w:val="1F497D" w:themeColor="text2"/>
        </w:rPr>
        <w:t xml:space="preserve">I have also added the table to assist with </w:t>
      </w:r>
      <w:r w:rsidR="00EA32D5" w:rsidRPr="00EA32D5">
        <w:rPr>
          <w:color w:val="1F497D" w:themeColor="text2"/>
        </w:rPr>
        <w:t>what reach is based on.</w:t>
      </w:r>
    </w:p>
    <w:p w14:paraId="7527BB22" w14:textId="664925FD" w:rsidR="00B2625F" w:rsidRDefault="00000000">
      <w:pPr>
        <w:pStyle w:val="ListParagraph"/>
        <w:numPr>
          <w:ilvl w:val="0"/>
          <w:numId w:val="1"/>
        </w:numPr>
        <w:tabs>
          <w:tab w:val="left" w:pos="460"/>
          <w:tab w:val="left" w:pos="461"/>
        </w:tabs>
        <w:spacing w:line="259" w:lineRule="auto"/>
        <w:ind w:right="240"/>
      </w:pPr>
      <w:r>
        <w:t>Can you provide some guidance on the relationship between the performance requirements in the scope of work and performance measures in contract package A? It seems that some are similar, such as social media, but others such as print media in the scope of</w:t>
      </w:r>
      <w:r>
        <w:t xml:space="preserve"> work don’t seem to have a specific performance</w:t>
      </w:r>
      <w:r>
        <w:rPr>
          <w:spacing w:val="-4"/>
        </w:rPr>
        <w:t xml:space="preserve"> </w:t>
      </w:r>
      <w:r>
        <w:t>measure.</w:t>
      </w:r>
      <w:r w:rsidR="00904055">
        <w:t xml:space="preserve"> </w:t>
      </w:r>
      <w:r w:rsidR="00904055" w:rsidRPr="00904055">
        <w:rPr>
          <w:color w:val="1F497D" w:themeColor="text2"/>
        </w:rPr>
        <w:t>It is the same format.</w:t>
      </w:r>
      <w:r w:rsidR="00904055">
        <w:t xml:space="preserve"> </w:t>
      </w:r>
    </w:p>
    <w:p w14:paraId="1C4B875A" w14:textId="77777777" w:rsidR="001354DD" w:rsidRDefault="001354DD" w:rsidP="005B3CB4">
      <w:pPr>
        <w:pStyle w:val="ListParagraph"/>
        <w:tabs>
          <w:tab w:val="left" w:pos="460"/>
          <w:tab w:val="left" w:pos="461"/>
        </w:tabs>
        <w:spacing w:line="259" w:lineRule="auto"/>
        <w:ind w:right="240" w:firstLine="0"/>
        <w:rPr>
          <w:color w:val="1F497D" w:themeColor="text2"/>
        </w:rPr>
      </w:pPr>
    </w:p>
    <w:p w14:paraId="3D33D19C" w14:textId="77777777" w:rsidR="0057091A" w:rsidRDefault="00204FC8" w:rsidP="0057091A">
      <w:pPr>
        <w:pStyle w:val="ListParagraph"/>
        <w:tabs>
          <w:tab w:val="left" w:pos="460"/>
          <w:tab w:val="left" w:pos="461"/>
        </w:tabs>
        <w:spacing w:line="259" w:lineRule="auto"/>
        <w:ind w:right="240" w:firstLine="0"/>
        <w:rPr>
          <w:color w:val="1F497D" w:themeColor="text2"/>
        </w:rPr>
      </w:pPr>
      <w:r w:rsidRPr="00182A44">
        <w:rPr>
          <w:color w:val="1F497D" w:themeColor="text2"/>
        </w:rPr>
        <w:t>“Number of individuals targeted through print media.”</w:t>
      </w:r>
    </w:p>
    <w:p w14:paraId="5D81E0D0" w14:textId="02127DA0" w:rsidR="00182A44" w:rsidRPr="0057091A" w:rsidRDefault="0057091A" w:rsidP="0057091A">
      <w:pPr>
        <w:tabs>
          <w:tab w:val="left" w:pos="460"/>
          <w:tab w:val="left" w:pos="461"/>
        </w:tabs>
        <w:spacing w:line="259" w:lineRule="auto"/>
        <w:ind w:right="240"/>
        <w:rPr>
          <w:color w:val="1F497D" w:themeColor="text2"/>
        </w:rPr>
      </w:pPr>
      <w:r>
        <w:rPr>
          <w:color w:val="1F497D" w:themeColor="text2"/>
        </w:rPr>
        <w:tab/>
      </w:r>
      <w:r w:rsidR="00182A44" w:rsidRPr="0057091A">
        <w:rPr>
          <w:color w:val="1F497D" w:themeColor="text2"/>
        </w:rPr>
        <w:t>Explain the type of social media being used and number of individuals targeted.</w:t>
      </w:r>
    </w:p>
    <w:p w14:paraId="2B1385A7" w14:textId="77777777" w:rsidR="00265F7B" w:rsidRDefault="00CC2278" w:rsidP="00A902E0">
      <w:pPr>
        <w:pStyle w:val="ListParagraph"/>
        <w:tabs>
          <w:tab w:val="left" w:pos="460"/>
          <w:tab w:val="left" w:pos="461"/>
        </w:tabs>
        <w:spacing w:line="259" w:lineRule="auto"/>
        <w:ind w:right="240"/>
      </w:pPr>
      <w:r>
        <w:tab/>
      </w:r>
    </w:p>
    <w:p w14:paraId="0BBE6FE3" w14:textId="77777777" w:rsidR="00265F7B" w:rsidRDefault="00265F7B" w:rsidP="00A902E0">
      <w:pPr>
        <w:pStyle w:val="ListParagraph"/>
        <w:tabs>
          <w:tab w:val="left" w:pos="460"/>
          <w:tab w:val="left" w:pos="461"/>
        </w:tabs>
        <w:spacing w:line="259" w:lineRule="auto"/>
        <w:ind w:right="240"/>
      </w:pPr>
    </w:p>
    <w:p w14:paraId="5CCBD994" w14:textId="3AECE8EE" w:rsidR="00A902E0" w:rsidRPr="00A902E0" w:rsidRDefault="00265F7B" w:rsidP="00A902E0">
      <w:pPr>
        <w:pStyle w:val="ListParagraph"/>
        <w:tabs>
          <w:tab w:val="left" w:pos="460"/>
          <w:tab w:val="left" w:pos="461"/>
        </w:tabs>
        <w:spacing w:line="259" w:lineRule="auto"/>
        <w:ind w:right="240"/>
        <w:rPr>
          <w:color w:val="1F497D" w:themeColor="text2"/>
        </w:rPr>
      </w:pPr>
      <w:r>
        <w:tab/>
      </w:r>
      <w:r w:rsidRPr="00265F7B">
        <w:rPr>
          <w:color w:val="1F497D" w:themeColor="text2"/>
        </w:rPr>
        <w:t xml:space="preserve">Example: </w:t>
      </w:r>
      <w:r w:rsidR="00A902E0" w:rsidRPr="00265F7B">
        <w:rPr>
          <w:color w:val="1F497D" w:themeColor="text2"/>
        </w:rPr>
        <w:t>(1</w:t>
      </w:r>
      <w:r w:rsidR="0057091A">
        <w:rPr>
          <w:color w:val="1F497D" w:themeColor="text2"/>
        </w:rPr>
        <w:t>) “</w:t>
      </w:r>
      <w:r w:rsidR="00A902E0" w:rsidRPr="00265F7B">
        <w:rPr>
          <w:color w:val="1F497D" w:themeColor="text2"/>
        </w:rPr>
        <w:t>The Contractor shall provide advertisement through print media targeting an estim</w:t>
      </w:r>
      <w:r w:rsidR="00A902E0" w:rsidRPr="00A902E0">
        <w:rPr>
          <w:color w:val="1F497D" w:themeColor="text2"/>
        </w:rPr>
        <w:t>ated 310,582 individuals with the purpose of providing eligibility requirements about the FNS program and how to apply as follows:</w:t>
      </w:r>
      <w:r w:rsidR="0057091A">
        <w:rPr>
          <w:color w:val="1F497D" w:themeColor="text2"/>
        </w:rPr>
        <w:t>”</w:t>
      </w:r>
    </w:p>
    <w:p w14:paraId="6CEA8F50" w14:textId="1E6256F6" w:rsidR="00A902E0" w:rsidRPr="0057091A" w:rsidRDefault="00A902E0" w:rsidP="0057091A">
      <w:pPr>
        <w:pStyle w:val="ListParagraph"/>
        <w:numPr>
          <w:ilvl w:val="0"/>
          <w:numId w:val="6"/>
        </w:numPr>
        <w:tabs>
          <w:tab w:val="left" w:pos="460"/>
          <w:tab w:val="left" w:pos="461"/>
        </w:tabs>
        <w:spacing w:line="259" w:lineRule="auto"/>
        <w:ind w:right="240"/>
        <w:rPr>
          <w:color w:val="1F497D" w:themeColor="text2"/>
        </w:rPr>
      </w:pPr>
      <w:r w:rsidRPr="0057091A">
        <w:rPr>
          <w:i/>
          <w:iCs/>
          <w:color w:val="1F497D" w:themeColor="text2"/>
        </w:rPr>
        <w:t>Explain type of print media being used</w:t>
      </w:r>
      <w:r w:rsidRPr="0057091A">
        <w:rPr>
          <w:color w:val="1F497D" w:themeColor="text2"/>
        </w:rPr>
        <w:t>.</w:t>
      </w:r>
    </w:p>
    <w:p w14:paraId="2E5198AC" w14:textId="77EF2854" w:rsidR="00CC2278" w:rsidRDefault="0057091A" w:rsidP="0057091A">
      <w:pPr>
        <w:pStyle w:val="ListParagraph"/>
        <w:numPr>
          <w:ilvl w:val="1"/>
          <w:numId w:val="6"/>
        </w:numPr>
        <w:tabs>
          <w:tab w:val="left" w:pos="460"/>
          <w:tab w:val="left" w:pos="461"/>
        </w:tabs>
        <w:spacing w:line="259" w:lineRule="auto"/>
        <w:ind w:right="240"/>
      </w:pPr>
      <w:r>
        <w:rPr>
          <w:color w:val="1F497D" w:themeColor="text2"/>
        </w:rPr>
        <w:t>“</w:t>
      </w:r>
      <w:r w:rsidR="00A902E0" w:rsidRPr="00A902E0">
        <w:rPr>
          <w:color w:val="1F497D" w:themeColor="text2"/>
        </w:rPr>
        <w:t xml:space="preserve">Articles about the benefits of SNAP/FNS and information on how to contact </w:t>
      </w:r>
      <w:r w:rsidR="00265F7B">
        <w:rPr>
          <w:color w:val="1F497D" w:themeColor="text2"/>
        </w:rPr>
        <w:t>XXX</w:t>
      </w:r>
      <w:r w:rsidR="00A902E0" w:rsidRPr="00A902E0">
        <w:rPr>
          <w:color w:val="1F497D" w:themeColor="text2"/>
        </w:rPr>
        <w:t xml:space="preserve"> for eligibility screening and application assistance will be printed in </w:t>
      </w:r>
      <w:r w:rsidR="00265F7B">
        <w:rPr>
          <w:color w:val="1F497D" w:themeColor="text2"/>
        </w:rPr>
        <w:t>XXX</w:t>
      </w:r>
      <w:r w:rsidR="00A902E0" w:rsidRPr="00A902E0">
        <w:rPr>
          <w:color w:val="1F497D" w:themeColor="text2"/>
        </w:rPr>
        <w:t xml:space="preserve"> partnering Extension Counties’ local newspapers</w:t>
      </w:r>
      <w:r w:rsidR="00A902E0">
        <w:t>.</w:t>
      </w:r>
      <w:r>
        <w:t>”</w:t>
      </w:r>
    </w:p>
    <w:p w14:paraId="05955C9C" w14:textId="77777777" w:rsidR="0057091A" w:rsidRPr="00B45E59" w:rsidRDefault="0057091A" w:rsidP="00B45E59">
      <w:pPr>
        <w:pStyle w:val="ListParagraph"/>
        <w:tabs>
          <w:tab w:val="left" w:pos="460"/>
          <w:tab w:val="left" w:pos="461"/>
        </w:tabs>
        <w:spacing w:line="259" w:lineRule="auto"/>
        <w:ind w:right="240"/>
      </w:pPr>
    </w:p>
    <w:p w14:paraId="7527BB23" w14:textId="0264BD5D" w:rsidR="00B2625F" w:rsidRPr="00161873" w:rsidRDefault="00000000">
      <w:pPr>
        <w:pStyle w:val="ListParagraph"/>
        <w:numPr>
          <w:ilvl w:val="0"/>
          <w:numId w:val="1"/>
        </w:numPr>
        <w:tabs>
          <w:tab w:val="left" w:pos="460"/>
          <w:tab w:val="left" w:pos="461"/>
        </w:tabs>
        <w:spacing w:line="259" w:lineRule="auto"/>
        <w:ind w:right="387"/>
        <w:rPr>
          <w:color w:val="1F497D" w:themeColor="text2"/>
        </w:rPr>
      </w:pPr>
      <w:r>
        <w:t xml:space="preserve">We wanted to confirm that we do not need to </w:t>
      </w:r>
      <w:r>
        <w:t>address all performance measures and performance requirements. For ones that we do not plan to address, would we put “0” in the performance measures chart and delete them from the performance requirements section</w:t>
      </w:r>
      <w:r>
        <w:rPr>
          <w:spacing w:val="-28"/>
        </w:rPr>
        <w:t xml:space="preserve"> </w:t>
      </w:r>
      <w:r>
        <w:t>of the scope of</w:t>
      </w:r>
      <w:r>
        <w:rPr>
          <w:spacing w:val="-4"/>
        </w:rPr>
        <w:t xml:space="preserve"> </w:t>
      </w:r>
      <w:r>
        <w:t>work?</w:t>
      </w:r>
      <w:r w:rsidR="008606EE">
        <w:t xml:space="preserve"> </w:t>
      </w:r>
      <w:r w:rsidR="008606EE" w:rsidRPr="00161873">
        <w:rPr>
          <w:color w:val="1F497D" w:themeColor="text2"/>
        </w:rPr>
        <w:t>You do not need to delete, please put N/A.</w:t>
      </w:r>
    </w:p>
    <w:p w14:paraId="7527BB24" w14:textId="237A4D88" w:rsidR="00B2625F" w:rsidRPr="0097272D" w:rsidRDefault="00000000">
      <w:pPr>
        <w:pStyle w:val="ListParagraph"/>
        <w:numPr>
          <w:ilvl w:val="0"/>
          <w:numId w:val="1"/>
        </w:numPr>
        <w:tabs>
          <w:tab w:val="left" w:pos="460"/>
          <w:tab w:val="left" w:pos="461"/>
        </w:tabs>
        <w:spacing w:line="259" w:lineRule="auto"/>
        <w:ind w:right="192"/>
        <w:rPr>
          <w:color w:val="1F497D" w:themeColor="text2"/>
        </w:rPr>
      </w:pPr>
      <w:r>
        <w:t xml:space="preserve">The performance requirements section mentions </w:t>
      </w:r>
      <w:proofErr w:type="gramStart"/>
      <w:r>
        <w:t>to list</w:t>
      </w:r>
      <w:proofErr w:type="gramEnd"/>
      <w:r>
        <w:t xml:space="preserve"> the number of unduplicated participants. How would we indicate places where the same individual may be reached through more than one channel. As an example, distributing pamphlets (information dissemination) at a community event</w:t>
      </w:r>
      <w:r>
        <w:rPr>
          <w:spacing w:val="-3"/>
        </w:rPr>
        <w:t xml:space="preserve"> </w:t>
      </w:r>
      <w:r>
        <w:t>(outreach).</w:t>
      </w:r>
      <w:r w:rsidR="00120146">
        <w:t xml:space="preserve"> </w:t>
      </w:r>
      <w:r w:rsidR="00677A36" w:rsidRPr="0097272D">
        <w:rPr>
          <w:color w:val="1F497D" w:themeColor="text2"/>
        </w:rPr>
        <w:t>We ask that you do your best to capture this</w:t>
      </w:r>
      <w:r w:rsidR="0097272D">
        <w:rPr>
          <w:color w:val="1F497D" w:themeColor="text2"/>
        </w:rPr>
        <w:t xml:space="preserve"> and understand that it may not be 100%</w:t>
      </w:r>
      <w:r w:rsidR="00677A36" w:rsidRPr="0097272D">
        <w:rPr>
          <w:color w:val="1F497D" w:themeColor="text2"/>
        </w:rPr>
        <w:t>.</w:t>
      </w:r>
      <w:r w:rsidR="00C5007D">
        <w:rPr>
          <w:color w:val="1F497D" w:themeColor="text2"/>
        </w:rPr>
        <w:t xml:space="preserve">  Please look at location of reach, type of event, </w:t>
      </w:r>
      <w:r w:rsidR="00FC7ECE">
        <w:rPr>
          <w:color w:val="1F497D" w:themeColor="text2"/>
        </w:rPr>
        <w:t xml:space="preserve">target audience and other </w:t>
      </w:r>
      <w:r w:rsidR="00EC6330">
        <w:rPr>
          <w:color w:val="1F497D" w:themeColor="text2"/>
        </w:rPr>
        <w:t>factors that may help you with capturing this data.</w:t>
      </w:r>
      <w:r w:rsidR="00B45E59">
        <w:rPr>
          <w:color w:val="1F497D" w:themeColor="text2"/>
        </w:rPr>
        <w:t xml:space="preserve">  You can also consult with SNAP Outreach Coordinator.</w:t>
      </w:r>
      <w:r w:rsidR="0097272D">
        <w:rPr>
          <w:color w:val="1F497D" w:themeColor="text2"/>
        </w:rPr>
        <w:t xml:space="preserve">  </w:t>
      </w:r>
      <w:r w:rsidR="00677A36" w:rsidRPr="0097272D">
        <w:rPr>
          <w:color w:val="1F497D" w:themeColor="text2"/>
        </w:rPr>
        <w:t xml:space="preserve"> </w:t>
      </w:r>
    </w:p>
    <w:p w14:paraId="7527BB25" w14:textId="74D1E154" w:rsidR="00B2625F" w:rsidRPr="00B868C3" w:rsidRDefault="00000000">
      <w:pPr>
        <w:pStyle w:val="ListParagraph"/>
        <w:numPr>
          <w:ilvl w:val="0"/>
          <w:numId w:val="1"/>
        </w:numPr>
        <w:tabs>
          <w:tab w:val="left" w:pos="460"/>
          <w:tab w:val="left" w:pos="461"/>
        </w:tabs>
        <w:spacing w:line="280" w:lineRule="exact"/>
        <w:rPr>
          <w:color w:val="1F497D" w:themeColor="text2"/>
        </w:rPr>
      </w:pPr>
      <w:r>
        <w:t>Do indirect costs require a match?</w:t>
      </w:r>
      <w:r w:rsidR="003B5EC2">
        <w:t xml:space="preserve"> </w:t>
      </w:r>
      <w:r w:rsidR="003B5EC2" w:rsidRPr="00B868C3">
        <w:rPr>
          <w:color w:val="1F497D" w:themeColor="text2"/>
        </w:rPr>
        <w:t xml:space="preserve">Please look at </w:t>
      </w:r>
      <w:proofErr w:type="gramStart"/>
      <w:r w:rsidR="00F36E3F" w:rsidRPr="00B868C3">
        <w:rPr>
          <w:color w:val="1F497D" w:themeColor="text2"/>
        </w:rPr>
        <w:t>Outreach</w:t>
      </w:r>
      <w:proofErr w:type="gramEnd"/>
      <w:r w:rsidR="00F36E3F" w:rsidRPr="00B868C3">
        <w:rPr>
          <w:color w:val="1F497D" w:themeColor="text2"/>
        </w:rPr>
        <w:t xml:space="preserve"> </w:t>
      </w:r>
      <w:r w:rsidR="00272A88" w:rsidRPr="00B868C3">
        <w:rPr>
          <w:color w:val="1F497D" w:themeColor="text2"/>
        </w:rPr>
        <w:t xml:space="preserve">Budget </w:t>
      </w:r>
      <w:r w:rsidR="00F36E3F" w:rsidRPr="00B868C3">
        <w:rPr>
          <w:color w:val="1F497D" w:themeColor="text2"/>
        </w:rPr>
        <w:t>D</w:t>
      </w:r>
      <w:r w:rsidR="00272A88" w:rsidRPr="00B868C3">
        <w:rPr>
          <w:color w:val="1F497D" w:themeColor="text2"/>
        </w:rPr>
        <w:t xml:space="preserve">etail excel </w:t>
      </w:r>
      <w:proofErr w:type="gramStart"/>
      <w:r w:rsidR="00272A88" w:rsidRPr="00B868C3">
        <w:rPr>
          <w:color w:val="1F497D" w:themeColor="text2"/>
        </w:rPr>
        <w:t>worksheet,</w:t>
      </w:r>
      <w:proofErr w:type="gramEnd"/>
      <w:r w:rsidR="00272A88" w:rsidRPr="00B868C3">
        <w:rPr>
          <w:color w:val="1F497D" w:themeColor="text2"/>
        </w:rPr>
        <w:t xml:space="preserve"> </w:t>
      </w:r>
      <w:r w:rsidR="00B45E59">
        <w:rPr>
          <w:color w:val="1F497D" w:themeColor="text2"/>
        </w:rPr>
        <w:t>y</w:t>
      </w:r>
      <w:r w:rsidR="00F36E3F" w:rsidRPr="00B868C3">
        <w:rPr>
          <w:color w:val="1F497D" w:themeColor="text2"/>
        </w:rPr>
        <w:t xml:space="preserve">our </w:t>
      </w:r>
      <w:r w:rsidR="00F36E3F" w:rsidRPr="00B868C3">
        <w:rPr>
          <w:color w:val="1F497D" w:themeColor="text2"/>
        </w:rPr>
        <w:lastRenderedPageBreak/>
        <w:t xml:space="preserve">agency can determine where to allocate cost for </w:t>
      </w:r>
      <w:r w:rsidR="002978C4">
        <w:rPr>
          <w:color w:val="1F497D" w:themeColor="text2"/>
        </w:rPr>
        <w:t>each</w:t>
      </w:r>
      <w:r w:rsidR="00F36E3F" w:rsidRPr="00B868C3">
        <w:rPr>
          <w:color w:val="1F497D" w:themeColor="text2"/>
        </w:rPr>
        <w:t xml:space="preserve"> line item. As long as y</w:t>
      </w:r>
      <w:r w:rsidR="003A1BBD" w:rsidRPr="00B868C3">
        <w:rPr>
          <w:color w:val="1F497D" w:themeColor="text2"/>
        </w:rPr>
        <w:t xml:space="preserve">our total budget </w:t>
      </w:r>
      <w:r w:rsidR="00B868C3" w:rsidRPr="00B868C3">
        <w:rPr>
          <w:color w:val="1F497D" w:themeColor="text2"/>
        </w:rPr>
        <w:t>has</w:t>
      </w:r>
      <w:r w:rsidR="003A1BBD" w:rsidRPr="00B868C3">
        <w:rPr>
          <w:color w:val="1F497D" w:themeColor="text2"/>
        </w:rPr>
        <w:t xml:space="preserve"> 50%</w:t>
      </w:r>
      <w:r w:rsidR="00B868C3" w:rsidRPr="00B868C3">
        <w:rPr>
          <w:color w:val="1F497D" w:themeColor="text2"/>
        </w:rPr>
        <w:t xml:space="preserve"> federal, 50% non-federal, you should be good</w:t>
      </w:r>
      <w:r w:rsidR="003A1BBD" w:rsidRPr="00B868C3">
        <w:rPr>
          <w:color w:val="1F497D" w:themeColor="text2"/>
        </w:rPr>
        <w:t xml:space="preserve">. </w:t>
      </w:r>
    </w:p>
    <w:p w14:paraId="7527BB26" w14:textId="32BE481B" w:rsidR="00B2625F" w:rsidRPr="00274F3E" w:rsidRDefault="00000000">
      <w:pPr>
        <w:pStyle w:val="ListParagraph"/>
        <w:numPr>
          <w:ilvl w:val="0"/>
          <w:numId w:val="1"/>
        </w:numPr>
        <w:tabs>
          <w:tab w:val="left" w:pos="460"/>
          <w:tab w:val="left" w:pos="461"/>
        </w:tabs>
        <w:spacing w:before="16" w:line="259" w:lineRule="auto"/>
        <w:ind w:right="121"/>
        <w:rPr>
          <w:color w:val="1F497D" w:themeColor="text2"/>
        </w:rPr>
      </w:pPr>
      <w:r>
        <w:t>Do we have flexibility to make changes to the sources of match funds during the grant period as long as they are allowable. As an example, a couple of sources of match funds we may include are</w:t>
      </w:r>
      <w:r>
        <w:rPr>
          <w:spacing w:val="-3"/>
        </w:rPr>
        <w:t xml:space="preserve"> </w:t>
      </w:r>
      <w:r>
        <w:t>a</w:t>
      </w:r>
      <w:r>
        <w:rPr>
          <w:spacing w:val="-3"/>
        </w:rPr>
        <w:t xml:space="preserve"> </w:t>
      </w:r>
      <w:r>
        <w:t>university</w:t>
      </w:r>
      <w:r>
        <w:rPr>
          <w:spacing w:val="-3"/>
        </w:rPr>
        <w:t xml:space="preserve"> </w:t>
      </w:r>
      <w:r>
        <w:t>tr</w:t>
      </w:r>
      <w:r>
        <w:t>ust</w:t>
      </w:r>
      <w:r>
        <w:rPr>
          <w:spacing w:val="-3"/>
        </w:rPr>
        <w:t xml:space="preserve"> </w:t>
      </w:r>
      <w:r>
        <w:t>fund</w:t>
      </w:r>
      <w:r>
        <w:rPr>
          <w:spacing w:val="-3"/>
        </w:rPr>
        <w:t xml:space="preserve"> </w:t>
      </w:r>
      <w:r>
        <w:t>and</w:t>
      </w:r>
      <w:r>
        <w:rPr>
          <w:spacing w:val="-3"/>
        </w:rPr>
        <w:t xml:space="preserve"> </w:t>
      </w:r>
      <w:r>
        <w:t>volunteer</w:t>
      </w:r>
      <w:r>
        <w:rPr>
          <w:spacing w:val="-2"/>
        </w:rPr>
        <w:t xml:space="preserve"> </w:t>
      </w:r>
      <w:r>
        <w:t>hours.</w:t>
      </w:r>
      <w:r>
        <w:rPr>
          <w:spacing w:val="-3"/>
        </w:rPr>
        <w:t xml:space="preserve"> </w:t>
      </w:r>
      <w:r>
        <w:t>We</w:t>
      </w:r>
      <w:r>
        <w:rPr>
          <w:spacing w:val="-1"/>
        </w:rPr>
        <w:t xml:space="preserve"> </w:t>
      </w:r>
      <w:r>
        <w:t>work</w:t>
      </w:r>
      <w:r>
        <w:rPr>
          <w:spacing w:val="-2"/>
        </w:rPr>
        <w:t xml:space="preserve"> </w:t>
      </w:r>
      <w:r>
        <w:t>with</w:t>
      </w:r>
      <w:r>
        <w:rPr>
          <w:spacing w:val="-2"/>
        </w:rPr>
        <w:t xml:space="preserve"> </w:t>
      </w:r>
      <w:r>
        <w:t>many</w:t>
      </w:r>
      <w:r>
        <w:rPr>
          <w:spacing w:val="-3"/>
        </w:rPr>
        <w:t xml:space="preserve"> </w:t>
      </w:r>
      <w:r>
        <w:t>student</w:t>
      </w:r>
      <w:r>
        <w:rPr>
          <w:spacing w:val="-2"/>
        </w:rPr>
        <w:t xml:space="preserve"> </w:t>
      </w:r>
      <w:r>
        <w:t>volunteers</w:t>
      </w:r>
      <w:r>
        <w:rPr>
          <w:spacing w:val="-2"/>
        </w:rPr>
        <w:t xml:space="preserve"> </w:t>
      </w:r>
      <w:r>
        <w:t>over</w:t>
      </w:r>
      <w:r>
        <w:rPr>
          <w:spacing w:val="-3"/>
        </w:rPr>
        <w:t xml:space="preserve"> </w:t>
      </w:r>
      <w:r>
        <w:t>the course of the year, but the number of volunteers/hours can vary from year to year. If we have more or less volunteer hours going towards SNAP Outreach than planned when we submit t</w:t>
      </w:r>
      <w:r>
        <w:t>he grant, can we adjust the amount of match that comes from the trust for</w:t>
      </w:r>
      <w:r>
        <w:rPr>
          <w:spacing w:val="-12"/>
        </w:rPr>
        <w:t xml:space="preserve"> </w:t>
      </w:r>
      <w:r>
        <w:t>example?</w:t>
      </w:r>
      <w:r w:rsidR="00C81995">
        <w:t xml:space="preserve">  </w:t>
      </w:r>
      <w:r w:rsidR="007531AB">
        <w:rPr>
          <w:color w:val="1F497D" w:themeColor="text2"/>
        </w:rPr>
        <w:t xml:space="preserve">Once </w:t>
      </w:r>
      <w:r w:rsidR="00286959">
        <w:rPr>
          <w:color w:val="1F497D" w:themeColor="text2"/>
        </w:rPr>
        <w:t xml:space="preserve">during the grant </w:t>
      </w:r>
      <w:r w:rsidR="007531AB">
        <w:rPr>
          <w:color w:val="1F497D" w:themeColor="text2"/>
        </w:rPr>
        <w:t xml:space="preserve">year, </w:t>
      </w:r>
      <w:r w:rsidR="00286959">
        <w:rPr>
          <w:color w:val="1F497D" w:themeColor="text2"/>
        </w:rPr>
        <w:t xml:space="preserve">agencies can adjust the budget via the amendment process, which will occur around April. </w:t>
      </w:r>
    </w:p>
    <w:p w14:paraId="7527BB27" w14:textId="4F87FC5C" w:rsidR="00B2625F" w:rsidRPr="009733B8" w:rsidRDefault="00000000">
      <w:pPr>
        <w:pStyle w:val="ListParagraph"/>
        <w:numPr>
          <w:ilvl w:val="0"/>
          <w:numId w:val="1"/>
        </w:numPr>
        <w:tabs>
          <w:tab w:val="left" w:pos="460"/>
          <w:tab w:val="left" w:pos="461"/>
        </w:tabs>
        <w:spacing w:line="259" w:lineRule="auto"/>
        <w:ind w:right="449"/>
        <w:rPr>
          <w:color w:val="1F497D" w:themeColor="text2"/>
        </w:rPr>
      </w:pPr>
      <w:r>
        <w:t>The RFA mentions providing proof of non-federal match on a quarterly basis of expenses charged to SNAP-Outreach contract. Would you be able to provide additional info</w:t>
      </w:r>
      <w:r>
        <w:t>rmation</w:t>
      </w:r>
      <w:r>
        <w:rPr>
          <w:spacing w:val="-35"/>
        </w:rPr>
        <w:t xml:space="preserve"> </w:t>
      </w:r>
      <w:r>
        <w:t>on what type of documentation is</w:t>
      </w:r>
      <w:r>
        <w:rPr>
          <w:spacing w:val="-4"/>
        </w:rPr>
        <w:t xml:space="preserve"> </w:t>
      </w:r>
      <w:r>
        <w:t>needed?</w:t>
      </w:r>
      <w:r w:rsidR="009733B8">
        <w:t xml:space="preserve"> </w:t>
      </w:r>
      <w:r w:rsidR="009733B8" w:rsidRPr="009733B8">
        <w:rPr>
          <w:color w:val="1F497D" w:themeColor="text2"/>
        </w:rPr>
        <w:t xml:space="preserve">We have a </w:t>
      </w:r>
      <w:r w:rsidR="003F49B0">
        <w:rPr>
          <w:color w:val="1F497D" w:themeColor="text2"/>
        </w:rPr>
        <w:t>verification letter</w:t>
      </w:r>
      <w:r w:rsidR="009733B8" w:rsidRPr="009733B8">
        <w:rPr>
          <w:color w:val="1F497D" w:themeColor="text2"/>
        </w:rPr>
        <w:t xml:space="preserve"> that we will share with agencies. </w:t>
      </w:r>
      <w:r w:rsidR="009B2303">
        <w:rPr>
          <w:color w:val="1F497D" w:themeColor="text2"/>
        </w:rPr>
        <w:t>It lets</w:t>
      </w:r>
      <w:r w:rsidR="00EF10F5">
        <w:rPr>
          <w:color w:val="1F497D" w:themeColor="text2"/>
        </w:rPr>
        <w:t xml:space="preserve"> us know that your agency understands </w:t>
      </w:r>
      <w:r w:rsidR="00954C99">
        <w:rPr>
          <w:color w:val="1F497D" w:themeColor="text2"/>
        </w:rPr>
        <w:t xml:space="preserve">and is following the requirement </w:t>
      </w:r>
      <w:r w:rsidR="00FE5547">
        <w:rPr>
          <w:color w:val="1F497D" w:themeColor="text2"/>
        </w:rPr>
        <w:t xml:space="preserve">of the 50% match being </w:t>
      </w:r>
      <w:r w:rsidR="0095752A">
        <w:rPr>
          <w:color w:val="1F497D" w:themeColor="text2"/>
        </w:rPr>
        <w:t>non-federal fund</w:t>
      </w:r>
      <w:r w:rsidR="00FE5547">
        <w:rPr>
          <w:color w:val="1F497D" w:themeColor="text2"/>
        </w:rPr>
        <w:t>s.</w:t>
      </w:r>
      <w:r w:rsidR="00954C99">
        <w:rPr>
          <w:color w:val="1F497D" w:themeColor="text2"/>
        </w:rPr>
        <w:t xml:space="preserve"> </w:t>
      </w:r>
      <w:r w:rsidR="0095752A">
        <w:rPr>
          <w:color w:val="1F497D" w:themeColor="text2"/>
        </w:rPr>
        <w:t xml:space="preserve"> </w:t>
      </w:r>
    </w:p>
    <w:p w14:paraId="7527BB28" w14:textId="16677024" w:rsidR="00B2625F" w:rsidRPr="00603DD8" w:rsidRDefault="00000000">
      <w:pPr>
        <w:pStyle w:val="ListParagraph"/>
        <w:numPr>
          <w:ilvl w:val="0"/>
          <w:numId w:val="1"/>
        </w:numPr>
        <w:tabs>
          <w:tab w:val="left" w:pos="460"/>
          <w:tab w:val="left" w:pos="461"/>
        </w:tabs>
        <w:spacing w:line="259" w:lineRule="auto"/>
        <w:ind w:right="137"/>
        <w:rPr>
          <w:color w:val="4F81BD" w:themeColor="accent1"/>
          <w:highlight w:val="yellow"/>
        </w:rPr>
      </w:pPr>
      <w:r w:rsidRPr="0057091A">
        <w:t>The</w:t>
      </w:r>
      <w:r w:rsidRPr="00A12F92">
        <w:rPr>
          <w:spacing w:val="-5"/>
        </w:rPr>
        <w:t xml:space="preserve"> </w:t>
      </w:r>
      <w:r w:rsidRPr="00A12F92">
        <w:t>instructions</w:t>
      </w:r>
      <w:r w:rsidRPr="00A12F92">
        <w:rPr>
          <w:spacing w:val="-3"/>
        </w:rPr>
        <w:t xml:space="preserve"> </w:t>
      </w:r>
      <w:r w:rsidRPr="00A12F92">
        <w:t>tab</w:t>
      </w:r>
      <w:r w:rsidRPr="00A12F92">
        <w:rPr>
          <w:spacing w:val="-3"/>
        </w:rPr>
        <w:t xml:space="preserve"> </w:t>
      </w:r>
      <w:r w:rsidRPr="00A12F92">
        <w:t>in</w:t>
      </w:r>
      <w:r w:rsidRPr="00A12F92">
        <w:rPr>
          <w:spacing w:val="-3"/>
        </w:rPr>
        <w:t xml:space="preserve"> </w:t>
      </w:r>
      <w:r w:rsidRPr="00A12F92">
        <w:t>contract</w:t>
      </w:r>
      <w:r w:rsidRPr="00A12F92">
        <w:rPr>
          <w:spacing w:val="-3"/>
        </w:rPr>
        <w:t xml:space="preserve"> </w:t>
      </w:r>
      <w:r w:rsidRPr="00A12F92">
        <w:t>package</w:t>
      </w:r>
      <w:r w:rsidRPr="00A12F92">
        <w:rPr>
          <w:spacing w:val="-2"/>
        </w:rPr>
        <w:t xml:space="preserve"> </w:t>
      </w:r>
      <w:r w:rsidRPr="00A12F92">
        <w:t>A</w:t>
      </w:r>
      <w:r w:rsidRPr="00A12F92">
        <w:rPr>
          <w:spacing w:val="-3"/>
        </w:rPr>
        <w:t xml:space="preserve"> </w:t>
      </w:r>
      <w:r w:rsidRPr="00A12F92">
        <w:t>mentions</w:t>
      </w:r>
      <w:r w:rsidRPr="00A12F92">
        <w:rPr>
          <w:spacing w:val="-3"/>
        </w:rPr>
        <w:t xml:space="preserve"> </w:t>
      </w:r>
      <w:r w:rsidRPr="00A12F92">
        <w:t>“incentives</w:t>
      </w:r>
      <w:r w:rsidRPr="00A12F92">
        <w:rPr>
          <w:spacing w:val="-4"/>
        </w:rPr>
        <w:t xml:space="preserve"> </w:t>
      </w:r>
      <w:r w:rsidRPr="00A12F92">
        <w:t>and</w:t>
      </w:r>
      <w:r w:rsidRPr="00A12F92">
        <w:rPr>
          <w:spacing w:val="-3"/>
        </w:rPr>
        <w:t xml:space="preserve"> </w:t>
      </w:r>
      <w:r w:rsidRPr="00A12F92">
        <w:t>participants”</w:t>
      </w:r>
      <w:r w:rsidRPr="00A12F92">
        <w:rPr>
          <w:spacing w:val="-2"/>
        </w:rPr>
        <w:t xml:space="preserve"> </w:t>
      </w:r>
      <w:r w:rsidRPr="00A12F92">
        <w:t>as</w:t>
      </w:r>
      <w:r w:rsidRPr="00A12F92">
        <w:rPr>
          <w:spacing w:val="-4"/>
        </w:rPr>
        <w:t xml:space="preserve"> </w:t>
      </w:r>
      <w:r w:rsidRPr="00A12F92">
        <w:t>an</w:t>
      </w:r>
      <w:r w:rsidRPr="00A12F92">
        <w:rPr>
          <w:spacing w:val="-2"/>
        </w:rPr>
        <w:t xml:space="preserve"> </w:t>
      </w:r>
      <w:r w:rsidRPr="00A12F92">
        <w:t>example of an “other cost.” We wanted to confirm that participant incentives for activities such as participating in a survey, interview or focus group to inform the development of our program and materials, such as providing input on messaging, communicat</w:t>
      </w:r>
      <w:r w:rsidRPr="00A12F92">
        <w:t>ion channels, misperceptions about SNAP, etc., would be an allowable</w:t>
      </w:r>
      <w:r w:rsidRPr="00A12F92">
        <w:rPr>
          <w:spacing w:val="-3"/>
        </w:rPr>
        <w:t xml:space="preserve"> </w:t>
      </w:r>
      <w:r w:rsidRPr="00A12F92">
        <w:t>cost.</w:t>
      </w:r>
      <w:r w:rsidR="00DC6FE1" w:rsidRPr="00A12F92">
        <w:t xml:space="preserve"> </w:t>
      </w:r>
      <w:r w:rsidR="00603DD8" w:rsidRPr="00A12F92">
        <w:rPr>
          <w:color w:val="4F81BD" w:themeColor="accent1"/>
        </w:rPr>
        <w:t>This is the response from USDA:</w:t>
      </w:r>
      <w:r w:rsidR="00603DD8">
        <w:t xml:space="preserve"> </w:t>
      </w:r>
      <w:r w:rsidR="00603DD8" w:rsidRPr="00603DD8">
        <w:rPr>
          <w:color w:val="4F81BD" w:themeColor="accent1"/>
        </w:rPr>
        <w:t>The primary purpose of SNAP Outreach is</w:t>
      </w:r>
      <w:r w:rsidR="0057091A">
        <w:rPr>
          <w:color w:val="4F81BD" w:themeColor="accent1"/>
        </w:rPr>
        <w:t xml:space="preserve"> to</w:t>
      </w:r>
      <w:r w:rsidR="00603DD8" w:rsidRPr="00603DD8">
        <w:rPr>
          <w:color w:val="4F81BD" w:themeColor="accent1"/>
        </w:rPr>
        <w:t xml:space="preserve"> inform and educate individuals about SNAP and assist individuals in completing SNAP applications. Research, focus groups, etc., are not allowable, however the provider can possibly conduct an outreach workshop and ask the attendees for input on messaging.  </w:t>
      </w:r>
      <w:r w:rsidR="00A12F92">
        <w:rPr>
          <w:color w:val="4F81BD" w:themeColor="accent1"/>
        </w:rPr>
        <w:t>You can also find a list of allowable activity</w:t>
      </w:r>
      <w:r w:rsidR="00027073">
        <w:rPr>
          <w:color w:val="4F81BD" w:themeColor="accent1"/>
        </w:rPr>
        <w:t xml:space="preserve"> on page 15-17 of the </w:t>
      </w:r>
      <w:r w:rsidR="00A241F2">
        <w:rPr>
          <w:color w:val="4F81BD" w:themeColor="accent1"/>
        </w:rPr>
        <w:t xml:space="preserve">SNAP </w:t>
      </w:r>
      <w:r w:rsidR="00027073">
        <w:rPr>
          <w:color w:val="4F81BD" w:themeColor="accent1"/>
        </w:rPr>
        <w:t xml:space="preserve">Outreach </w:t>
      </w:r>
      <w:r w:rsidR="008D0F0D">
        <w:rPr>
          <w:color w:val="4F81BD" w:themeColor="accent1"/>
        </w:rPr>
        <w:t xml:space="preserve">Plan </w:t>
      </w:r>
      <w:r w:rsidR="00027073">
        <w:rPr>
          <w:color w:val="4F81BD" w:themeColor="accent1"/>
        </w:rPr>
        <w:t xml:space="preserve">Guidance here : </w:t>
      </w:r>
      <w:hyperlink r:id="rId5" w:history="1">
        <w:r w:rsidR="00A241F2" w:rsidRPr="00A241F2">
          <w:rPr>
            <w:color w:val="0000FF"/>
            <w:u w:val="single"/>
          </w:rPr>
          <w:t>SNAP Outreach Plan Guidance July 2017 (azureedge.us)</w:t>
        </w:r>
      </w:hyperlink>
    </w:p>
    <w:p w14:paraId="323FAA91" w14:textId="4DECA50C" w:rsidR="00B45E59" w:rsidRDefault="00000000" w:rsidP="007416F6">
      <w:pPr>
        <w:pStyle w:val="ListParagraph"/>
        <w:numPr>
          <w:ilvl w:val="0"/>
          <w:numId w:val="1"/>
        </w:numPr>
        <w:tabs>
          <w:tab w:val="left" w:pos="460"/>
          <w:tab w:val="left" w:pos="461"/>
        </w:tabs>
        <w:spacing w:line="259" w:lineRule="auto"/>
        <w:ind w:right="130"/>
        <w:rPr>
          <w:color w:val="1F497D" w:themeColor="text2"/>
        </w:rPr>
      </w:pPr>
      <w:r>
        <w:t>There are a variety of components asked for in the RFA</w:t>
      </w:r>
      <w:r>
        <w:t xml:space="preserve"> in different places and it’s a little unclear for some if they’re describing a new item or something that’s going to be included in one of the documents in the appendices or another section. Would it be possible to provide a checklist of each of the requi</w:t>
      </w:r>
      <w:r>
        <w:t>red documents to ensure that we are not missing</w:t>
      </w:r>
      <w:r>
        <w:rPr>
          <w:spacing w:val="-11"/>
        </w:rPr>
        <w:t xml:space="preserve"> </w:t>
      </w:r>
      <w:r>
        <w:t>anything?</w:t>
      </w:r>
      <w:r w:rsidR="00B010CA">
        <w:t xml:space="preserve"> </w:t>
      </w:r>
      <w:r w:rsidR="00B010CA" w:rsidRPr="00B010CA">
        <w:rPr>
          <w:color w:val="1F497D" w:themeColor="text2"/>
        </w:rPr>
        <w:t>Yes, a checklist has been added</w:t>
      </w:r>
      <w:r w:rsidR="00B010CA">
        <w:rPr>
          <w:color w:val="1F497D" w:themeColor="text2"/>
        </w:rPr>
        <w:t xml:space="preserve"> to the RFA link</w:t>
      </w:r>
      <w:r w:rsidR="00B010CA" w:rsidRPr="00B010CA">
        <w:rPr>
          <w:color w:val="1F497D" w:themeColor="text2"/>
        </w:rPr>
        <w:t>,</w:t>
      </w:r>
      <w:r w:rsidR="00C54913">
        <w:rPr>
          <w:color w:val="1F497D" w:themeColor="text2"/>
        </w:rPr>
        <w:t xml:space="preserve"> we will also work with you to make sure all required documents are submitted once </w:t>
      </w:r>
      <w:r w:rsidR="005171B1">
        <w:rPr>
          <w:color w:val="1F497D" w:themeColor="text2"/>
        </w:rPr>
        <w:t xml:space="preserve">the </w:t>
      </w:r>
      <w:r w:rsidR="00C54913">
        <w:rPr>
          <w:color w:val="1F497D" w:themeColor="text2"/>
        </w:rPr>
        <w:t xml:space="preserve">review process starts. </w:t>
      </w:r>
    </w:p>
    <w:p w14:paraId="210C866A" w14:textId="77777777" w:rsidR="00B45E59" w:rsidRDefault="00B45E59" w:rsidP="00B45E59">
      <w:pPr>
        <w:tabs>
          <w:tab w:val="left" w:pos="460"/>
          <w:tab w:val="left" w:pos="461"/>
        </w:tabs>
        <w:spacing w:line="259" w:lineRule="auto"/>
        <w:ind w:right="130"/>
        <w:rPr>
          <w:color w:val="1F497D" w:themeColor="text2"/>
        </w:rPr>
      </w:pPr>
    </w:p>
    <w:p w14:paraId="7F06572B" w14:textId="0FCCB0E4" w:rsidR="007416F6" w:rsidRPr="00B45E59" w:rsidRDefault="00B45E59" w:rsidP="00B45E59">
      <w:pPr>
        <w:tabs>
          <w:tab w:val="left" w:pos="460"/>
          <w:tab w:val="left" w:pos="461"/>
        </w:tabs>
        <w:spacing w:line="259" w:lineRule="auto"/>
        <w:ind w:right="130"/>
        <w:rPr>
          <w:b/>
          <w:bCs/>
          <w:u w:val="single"/>
        </w:rPr>
      </w:pPr>
      <w:r w:rsidRPr="00B45E59">
        <w:rPr>
          <w:b/>
          <w:bCs/>
          <w:u w:val="single"/>
        </w:rPr>
        <w:t>EDUCATION</w:t>
      </w:r>
      <w:r w:rsidR="00B010CA" w:rsidRPr="00B45E59">
        <w:rPr>
          <w:b/>
          <w:bCs/>
          <w:u w:val="single"/>
        </w:rPr>
        <w:t xml:space="preserve">   </w:t>
      </w:r>
    </w:p>
    <w:p w14:paraId="4F3AE52A" w14:textId="0CDD8EAB" w:rsidR="00646109" w:rsidRPr="00B6484B" w:rsidRDefault="007416F6" w:rsidP="007416F6">
      <w:pPr>
        <w:pStyle w:val="ListParagraph"/>
        <w:numPr>
          <w:ilvl w:val="0"/>
          <w:numId w:val="1"/>
        </w:numPr>
        <w:tabs>
          <w:tab w:val="left" w:pos="460"/>
          <w:tab w:val="left" w:pos="461"/>
        </w:tabs>
        <w:spacing w:line="259" w:lineRule="auto"/>
        <w:ind w:right="130"/>
        <w:rPr>
          <w:color w:val="4F81BD" w:themeColor="accent1"/>
        </w:rPr>
      </w:pPr>
      <w:r w:rsidRPr="007416F6">
        <w:t>Can partner organizations be funded through SNAP-Ed and SNAP-Outreach grants simultaneously?</w:t>
      </w:r>
      <w:r>
        <w:t xml:space="preserve"> </w:t>
      </w:r>
      <w:r w:rsidRPr="00B6484B">
        <w:rPr>
          <w:color w:val="4F81BD" w:themeColor="accent1"/>
        </w:rPr>
        <w:t xml:space="preserve">Yes. </w:t>
      </w:r>
      <w:r w:rsidR="00646109" w:rsidRPr="00B6484B">
        <w:rPr>
          <w:color w:val="4F81BD" w:themeColor="accent1"/>
        </w:rPr>
        <w:t xml:space="preserve">An agency is allowed to be a SNAP-Ed and SNAP Outreach provider as long as the programs’ costs are separate and clearly delineated.   Agencies can receive multiple funding streams from FNS as long as the agency is operating with program and fiscal integrity.  </w:t>
      </w:r>
    </w:p>
    <w:p w14:paraId="38F80326" w14:textId="77777777" w:rsidR="007965C5" w:rsidRDefault="007416F6" w:rsidP="007416F6">
      <w:pPr>
        <w:pStyle w:val="ListParagraph"/>
        <w:numPr>
          <w:ilvl w:val="0"/>
          <w:numId w:val="1"/>
        </w:numPr>
        <w:tabs>
          <w:tab w:val="left" w:pos="460"/>
          <w:tab w:val="left" w:pos="461"/>
        </w:tabs>
        <w:spacing w:line="259" w:lineRule="auto"/>
        <w:ind w:right="130"/>
        <w:rPr>
          <w:color w:val="4F81BD" w:themeColor="accent1"/>
        </w:rPr>
      </w:pPr>
      <w:r w:rsidRPr="007416F6">
        <w:t>Are data on the dollar amount of prior awards to partners publicly available?</w:t>
      </w:r>
      <w:r w:rsidR="00B6484B">
        <w:t xml:space="preserve"> </w:t>
      </w:r>
      <w:r w:rsidR="00944F87" w:rsidRPr="00622B34">
        <w:rPr>
          <w:color w:val="4F81BD" w:themeColor="accent1"/>
        </w:rPr>
        <w:t>Yes. Agency may request this with the SNAP-Ed &amp; Outreach Coordinator.</w:t>
      </w:r>
    </w:p>
    <w:p w14:paraId="70BB3C7C" w14:textId="77777777" w:rsidR="001520E2" w:rsidRPr="001520E2" w:rsidRDefault="007416F6" w:rsidP="007416F6">
      <w:pPr>
        <w:pStyle w:val="ListParagraph"/>
        <w:numPr>
          <w:ilvl w:val="0"/>
          <w:numId w:val="1"/>
        </w:numPr>
        <w:tabs>
          <w:tab w:val="left" w:pos="460"/>
          <w:tab w:val="left" w:pos="461"/>
        </w:tabs>
        <w:spacing w:line="259" w:lineRule="auto"/>
        <w:ind w:right="130"/>
        <w:rPr>
          <w:color w:val="4F81BD" w:themeColor="accent1"/>
        </w:rPr>
      </w:pPr>
      <w:r w:rsidRPr="007416F6">
        <w:t>Are the details of prior funded awards publicly available</w:t>
      </w:r>
      <w:r w:rsidRPr="001520E2">
        <w:rPr>
          <w:color w:val="4F81BD" w:themeColor="accent1"/>
        </w:rPr>
        <w:t>?</w:t>
      </w:r>
      <w:r w:rsidR="007965C5" w:rsidRPr="001520E2">
        <w:rPr>
          <w:color w:val="4F81BD" w:themeColor="accent1"/>
        </w:rPr>
        <w:t xml:space="preserve"> You </w:t>
      </w:r>
      <w:r w:rsidR="001520E2" w:rsidRPr="001520E2">
        <w:rPr>
          <w:color w:val="4F81BD" w:themeColor="accent1"/>
        </w:rPr>
        <w:t>will find the information here.</w:t>
      </w:r>
      <w:r w:rsidR="007965C5" w:rsidRPr="007965C5">
        <w:t xml:space="preserve"> </w:t>
      </w:r>
      <w:hyperlink r:id="rId6" w:history="1">
        <w:r w:rsidR="007965C5">
          <w:rPr>
            <w:rStyle w:val="Hyperlink"/>
          </w:rPr>
          <w:t>Public Notices | NCDHHS</w:t>
        </w:r>
      </w:hyperlink>
    </w:p>
    <w:p w14:paraId="4AEECA4D" w14:textId="77777777" w:rsidR="004662FA" w:rsidRDefault="007416F6" w:rsidP="007416F6">
      <w:pPr>
        <w:pStyle w:val="ListParagraph"/>
        <w:numPr>
          <w:ilvl w:val="0"/>
          <w:numId w:val="1"/>
        </w:numPr>
        <w:tabs>
          <w:tab w:val="left" w:pos="460"/>
          <w:tab w:val="left" w:pos="461"/>
        </w:tabs>
        <w:spacing w:line="259" w:lineRule="auto"/>
        <w:ind w:right="130"/>
        <w:rPr>
          <w:color w:val="4F81BD" w:themeColor="accent1"/>
        </w:rPr>
      </w:pPr>
      <w:r w:rsidRPr="007416F6">
        <w:t>Are there any financial matching requirements for SNAP-Ed funding?</w:t>
      </w:r>
      <w:r w:rsidR="001520E2">
        <w:t xml:space="preserve"> </w:t>
      </w:r>
      <w:r w:rsidR="001520E2" w:rsidRPr="00A45C4E">
        <w:rPr>
          <w:color w:val="4F81BD" w:themeColor="accent1"/>
        </w:rPr>
        <w:t xml:space="preserve">There is no matching </w:t>
      </w:r>
      <w:r w:rsidR="00A45C4E" w:rsidRPr="00A45C4E">
        <w:rPr>
          <w:color w:val="4F81BD" w:themeColor="accent1"/>
        </w:rPr>
        <w:t>required for SNAP-Education.</w:t>
      </w:r>
    </w:p>
    <w:p w14:paraId="29B44762" w14:textId="3CAAB4C7" w:rsidR="007416F6" w:rsidRPr="00B45E59" w:rsidRDefault="007416F6" w:rsidP="007416F6">
      <w:pPr>
        <w:pStyle w:val="ListParagraph"/>
        <w:numPr>
          <w:ilvl w:val="0"/>
          <w:numId w:val="1"/>
        </w:numPr>
        <w:tabs>
          <w:tab w:val="left" w:pos="460"/>
          <w:tab w:val="left" w:pos="461"/>
        </w:tabs>
        <w:spacing w:line="259" w:lineRule="auto"/>
        <w:ind w:right="130"/>
        <w:rPr>
          <w:color w:val="4F81BD" w:themeColor="accent1"/>
        </w:rPr>
      </w:pPr>
      <w:r w:rsidRPr="007416F6">
        <w:t>Where can partners find more information about this requirement: "All projects and interventions must be evidence-based as required by the FNA and The SNAP Promotion Final Rule."</w:t>
      </w:r>
      <w:r w:rsidR="001234A3">
        <w:t xml:space="preserve"> </w:t>
      </w:r>
      <w:r w:rsidR="00175245">
        <w:rPr>
          <w:color w:val="4F81BD" w:themeColor="accent1"/>
        </w:rPr>
        <w:t>Partners</w:t>
      </w:r>
      <w:r w:rsidR="00DA31EC" w:rsidRPr="00175245">
        <w:rPr>
          <w:color w:val="4F81BD" w:themeColor="accent1"/>
        </w:rPr>
        <w:t xml:space="preserve"> may go here </w:t>
      </w:r>
      <w:r w:rsidR="00B1731B" w:rsidRPr="00175245">
        <w:rPr>
          <w:color w:val="4F81BD" w:themeColor="accent1"/>
        </w:rPr>
        <w:t>to find more information on interventions</w:t>
      </w:r>
      <w:r w:rsidR="00B1731B">
        <w:t>:</w:t>
      </w:r>
      <w:r w:rsidR="00DA31EC">
        <w:t xml:space="preserve"> </w:t>
      </w:r>
      <w:hyperlink r:id="rId7" w:history="1">
        <w:r w:rsidR="00D165A1">
          <w:rPr>
            <w:rStyle w:val="Hyperlink"/>
          </w:rPr>
          <w:t>SNAP-Ed Toolkit (snapedtoolkit.org)</w:t>
        </w:r>
      </w:hyperlink>
    </w:p>
    <w:sectPr w:rsidR="007416F6" w:rsidRPr="00B45E59">
      <w:type w:val="continuous"/>
      <w:pgSz w:w="12240" w:h="15840"/>
      <w:pgMar w:top="140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46B"/>
    <w:multiLevelType w:val="hybridMultilevel"/>
    <w:tmpl w:val="EE3866D8"/>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 w15:restartNumberingAfterBreak="0">
    <w:nsid w:val="10425C97"/>
    <w:multiLevelType w:val="hybridMultilevel"/>
    <w:tmpl w:val="BDCE0954"/>
    <w:lvl w:ilvl="0" w:tplc="4B72C0C2">
      <w:numFmt w:val="bullet"/>
      <w:lvlText w:val=""/>
      <w:lvlJc w:val="left"/>
      <w:pPr>
        <w:ind w:left="460" w:hanging="361"/>
      </w:pPr>
      <w:rPr>
        <w:rFonts w:ascii="Symbol" w:eastAsia="Symbol" w:hAnsi="Symbol" w:cs="Symbol" w:hint="default"/>
        <w:w w:val="99"/>
        <w:sz w:val="22"/>
        <w:szCs w:val="22"/>
        <w:lang w:val="en-US" w:eastAsia="en-US" w:bidi="en-US"/>
      </w:rPr>
    </w:lvl>
    <w:lvl w:ilvl="1" w:tplc="77D6AB14">
      <w:numFmt w:val="bullet"/>
      <w:lvlText w:val="•"/>
      <w:lvlJc w:val="left"/>
      <w:pPr>
        <w:ind w:left="1334" w:hanging="361"/>
      </w:pPr>
      <w:rPr>
        <w:rFonts w:hint="default"/>
        <w:lang w:val="en-US" w:eastAsia="en-US" w:bidi="en-US"/>
      </w:rPr>
    </w:lvl>
    <w:lvl w:ilvl="2" w:tplc="C254945A">
      <w:numFmt w:val="bullet"/>
      <w:lvlText w:val="•"/>
      <w:lvlJc w:val="left"/>
      <w:pPr>
        <w:ind w:left="2208" w:hanging="361"/>
      </w:pPr>
      <w:rPr>
        <w:rFonts w:hint="default"/>
        <w:lang w:val="en-US" w:eastAsia="en-US" w:bidi="en-US"/>
      </w:rPr>
    </w:lvl>
    <w:lvl w:ilvl="3" w:tplc="B86455E8">
      <w:numFmt w:val="bullet"/>
      <w:lvlText w:val="•"/>
      <w:lvlJc w:val="left"/>
      <w:pPr>
        <w:ind w:left="3082" w:hanging="361"/>
      </w:pPr>
      <w:rPr>
        <w:rFonts w:hint="default"/>
        <w:lang w:val="en-US" w:eastAsia="en-US" w:bidi="en-US"/>
      </w:rPr>
    </w:lvl>
    <w:lvl w:ilvl="4" w:tplc="082037A2">
      <w:numFmt w:val="bullet"/>
      <w:lvlText w:val="•"/>
      <w:lvlJc w:val="left"/>
      <w:pPr>
        <w:ind w:left="3956" w:hanging="361"/>
      </w:pPr>
      <w:rPr>
        <w:rFonts w:hint="default"/>
        <w:lang w:val="en-US" w:eastAsia="en-US" w:bidi="en-US"/>
      </w:rPr>
    </w:lvl>
    <w:lvl w:ilvl="5" w:tplc="C19ACD22">
      <w:numFmt w:val="bullet"/>
      <w:lvlText w:val="•"/>
      <w:lvlJc w:val="left"/>
      <w:pPr>
        <w:ind w:left="4830" w:hanging="361"/>
      </w:pPr>
      <w:rPr>
        <w:rFonts w:hint="default"/>
        <w:lang w:val="en-US" w:eastAsia="en-US" w:bidi="en-US"/>
      </w:rPr>
    </w:lvl>
    <w:lvl w:ilvl="6" w:tplc="12E88AE0">
      <w:numFmt w:val="bullet"/>
      <w:lvlText w:val="•"/>
      <w:lvlJc w:val="left"/>
      <w:pPr>
        <w:ind w:left="5704" w:hanging="361"/>
      </w:pPr>
      <w:rPr>
        <w:rFonts w:hint="default"/>
        <w:lang w:val="en-US" w:eastAsia="en-US" w:bidi="en-US"/>
      </w:rPr>
    </w:lvl>
    <w:lvl w:ilvl="7" w:tplc="43EC2660">
      <w:numFmt w:val="bullet"/>
      <w:lvlText w:val="•"/>
      <w:lvlJc w:val="left"/>
      <w:pPr>
        <w:ind w:left="6578" w:hanging="361"/>
      </w:pPr>
      <w:rPr>
        <w:rFonts w:hint="default"/>
        <w:lang w:val="en-US" w:eastAsia="en-US" w:bidi="en-US"/>
      </w:rPr>
    </w:lvl>
    <w:lvl w:ilvl="8" w:tplc="91389C00">
      <w:numFmt w:val="bullet"/>
      <w:lvlText w:val="•"/>
      <w:lvlJc w:val="left"/>
      <w:pPr>
        <w:ind w:left="7452" w:hanging="361"/>
      </w:pPr>
      <w:rPr>
        <w:rFonts w:hint="default"/>
        <w:lang w:val="en-US" w:eastAsia="en-US" w:bidi="en-US"/>
      </w:rPr>
    </w:lvl>
  </w:abstractNum>
  <w:abstractNum w:abstractNumId="2" w15:restartNumberingAfterBreak="0">
    <w:nsid w:val="2D95715A"/>
    <w:multiLevelType w:val="hybridMultilevel"/>
    <w:tmpl w:val="49F6C9F8"/>
    <w:lvl w:ilvl="0" w:tplc="7E502678">
      <w:start w:val="1"/>
      <w:numFmt w:val="lowerRoman"/>
      <w:lvlText w:val="%1."/>
      <w:lvlJc w:val="left"/>
      <w:pPr>
        <w:ind w:left="1180" w:hanging="72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3AF20DDB"/>
    <w:multiLevelType w:val="hybridMultilevel"/>
    <w:tmpl w:val="867CD4AE"/>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 w15:restartNumberingAfterBreak="0">
    <w:nsid w:val="48ED718D"/>
    <w:multiLevelType w:val="hybridMultilevel"/>
    <w:tmpl w:val="93C6A9BE"/>
    <w:lvl w:ilvl="0" w:tplc="04090013">
      <w:start w:val="1"/>
      <w:numFmt w:val="upperRoman"/>
      <w:lvlText w:val="%1."/>
      <w:lvlJc w:val="right"/>
      <w:pPr>
        <w:ind w:left="1185" w:hanging="360"/>
      </w:pPr>
    </w:lvl>
    <w:lvl w:ilvl="1" w:tplc="513E4ED0">
      <w:start w:val="1"/>
      <w:numFmt w:val="lowerLetter"/>
      <w:lvlText w:val="%2."/>
      <w:lvlJc w:val="left"/>
      <w:pPr>
        <w:ind w:left="1905" w:hanging="360"/>
      </w:pPr>
      <w:rPr>
        <w:color w:val="4F81BD" w:themeColor="accent1"/>
      </w:r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 w15:restartNumberingAfterBreak="0">
    <w:nsid w:val="78BF1B43"/>
    <w:multiLevelType w:val="hybridMultilevel"/>
    <w:tmpl w:val="91084EE4"/>
    <w:lvl w:ilvl="0" w:tplc="4F34F8F6">
      <w:start w:val="1"/>
      <w:numFmt w:val="lowerRoman"/>
      <w:lvlText w:val="%1."/>
      <w:lvlJc w:val="left"/>
      <w:pPr>
        <w:ind w:left="1435" w:hanging="72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num w:numId="1" w16cid:durableId="34434269">
    <w:abstractNumId w:val="1"/>
  </w:num>
  <w:num w:numId="2" w16cid:durableId="228615276">
    <w:abstractNumId w:val="2"/>
  </w:num>
  <w:num w:numId="3" w16cid:durableId="160005382">
    <w:abstractNumId w:val="5"/>
  </w:num>
  <w:num w:numId="4" w16cid:durableId="134377042">
    <w:abstractNumId w:val="0"/>
  </w:num>
  <w:num w:numId="5" w16cid:durableId="935289840">
    <w:abstractNumId w:val="3"/>
  </w:num>
  <w:num w:numId="6" w16cid:durableId="1302422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5F"/>
    <w:rsid w:val="00027073"/>
    <w:rsid w:val="000F544F"/>
    <w:rsid w:val="00100DC7"/>
    <w:rsid w:val="00120146"/>
    <w:rsid w:val="00121090"/>
    <w:rsid w:val="001234A3"/>
    <w:rsid w:val="001354DD"/>
    <w:rsid w:val="001520E2"/>
    <w:rsid w:val="00161873"/>
    <w:rsid w:val="00175245"/>
    <w:rsid w:val="00182A44"/>
    <w:rsid w:val="00204FC8"/>
    <w:rsid w:val="00261D51"/>
    <w:rsid w:val="00265F7B"/>
    <w:rsid w:val="00272A88"/>
    <w:rsid w:val="00274F3E"/>
    <w:rsid w:val="00286959"/>
    <w:rsid w:val="002878C2"/>
    <w:rsid w:val="002978C4"/>
    <w:rsid w:val="003079AC"/>
    <w:rsid w:val="003A1BBD"/>
    <w:rsid w:val="003B5EC2"/>
    <w:rsid w:val="003F49B0"/>
    <w:rsid w:val="0040205C"/>
    <w:rsid w:val="00406369"/>
    <w:rsid w:val="004662FA"/>
    <w:rsid w:val="004E1F46"/>
    <w:rsid w:val="005171B1"/>
    <w:rsid w:val="0057091A"/>
    <w:rsid w:val="00591614"/>
    <w:rsid w:val="005B3CB4"/>
    <w:rsid w:val="00603DD8"/>
    <w:rsid w:val="00622B34"/>
    <w:rsid w:val="00646109"/>
    <w:rsid w:val="00677A36"/>
    <w:rsid w:val="0073332A"/>
    <w:rsid w:val="00736527"/>
    <w:rsid w:val="007416F6"/>
    <w:rsid w:val="007531AB"/>
    <w:rsid w:val="007965C5"/>
    <w:rsid w:val="008341BF"/>
    <w:rsid w:val="008606EE"/>
    <w:rsid w:val="008D0F0D"/>
    <w:rsid w:val="00904055"/>
    <w:rsid w:val="00944F87"/>
    <w:rsid w:val="00954C99"/>
    <w:rsid w:val="0095752A"/>
    <w:rsid w:val="0097272D"/>
    <w:rsid w:val="009733B8"/>
    <w:rsid w:val="009B2303"/>
    <w:rsid w:val="00A12F92"/>
    <w:rsid w:val="00A241F2"/>
    <w:rsid w:val="00A45C4E"/>
    <w:rsid w:val="00A902E0"/>
    <w:rsid w:val="00AB3BA9"/>
    <w:rsid w:val="00AF6734"/>
    <w:rsid w:val="00B010CA"/>
    <w:rsid w:val="00B1731B"/>
    <w:rsid w:val="00B23FAD"/>
    <w:rsid w:val="00B2625F"/>
    <w:rsid w:val="00B45E59"/>
    <w:rsid w:val="00B521FE"/>
    <w:rsid w:val="00B56E7D"/>
    <w:rsid w:val="00B6484B"/>
    <w:rsid w:val="00B868C3"/>
    <w:rsid w:val="00C5007D"/>
    <w:rsid w:val="00C54913"/>
    <w:rsid w:val="00C81995"/>
    <w:rsid w:val="00CC2278"/>
    <w:rsid w:val="00CD2DB2"/>
    <w:rsid w:val="00D165A1"/>
    <w:rsid w:val="00DA31EC"/>
    <w:rsid w:val="00DC6FE1"/>
    <w:rsid w:val="00DE7927"/>
    <w:rsid w:val="00DF0B8E"/>
    <w:rsid w:val="00EA32D5"/>
    <w:rsid w:val="00EC6330"/>
    <w:rsid w:val="00EF10F5"/>
    <w:rsid w:val="00F36E3F"/>
    <w:rsid w:val="00F45EB9"/>
    <w:rsid w:val="00F8666E"/>
    <w:rsid w:val="00F94E78"/>
    <w:rsid w:val="00FB6C8F"/>
    <w:rsid w:val="00FC7ECE"/>
    <w:rsid w:val="00FE5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BB1E"/>
  <w15:docId w15:val="{EB696230-F8EE-47E3-8665-7ACE91B5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1"/>
    </w:p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7965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napedtoolk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dhhs.gov/divisions/social-services/public-notices" TargetMode="External"/><Relationship Id="rId5" Type="http://schemas.openxmlformats.org/officeDocument/2006/relationships/hyperlink" Target="https://fns-prod.azureedge.us/sites/default/files/resource-files/SNAP_Outreach_Guide_%20July_2017.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Soldavini, Jessica Marie</dc:creator>
  <cp:lastModifiedBy>Tran, Konnie K</cp:lastModifiedBy>
  <cp:revision>2</cp:revision>
  <dcterms:created xsi:type="dcterms:W3CDTF">2023-06-14T15:23:00Z</dcterms:created>
  <dcterms:modified xsi:type="dcterms:W3CDTF">2023-06-14T15:23:00Z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Microsoft® Word for Microsoft 365</vt:lpwstr>
  </property>
  <property fmtid="{D5CDD505-2E9C-101B-9397-08002B2CF9AE}" pid="4" name="LastSaved">
    <vt:filetime>2023-06-12T00:00:00Z</vt:filetime>
  </property>
</Properties>
</file>